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432" w:type="dxa"/>
        <w:tblLayout w:type="fixed"/>
        <w:tblLook w:val="0000" w:firstRow="0" w:lastRow="0" w:firstColumn="0" w:lastColumn="0" w:noHBand="0" w:noVBand="0"/>
      </w:tblPr>
      <w:tblGrid>
        <w:gridCol w:w="2700"/>
        <w:gridCol w:w="4502"/>
        <w:gridCol w:w="2698"/>
      </w:tblGrid>
      <w:tr w:rsidR="00000000" w14:paraId="558AD0A5" w14:textId="77777777">
        <w:tblPrEx>
          <w:tblCellMar>
            <w:top w:w="0" w:type="dxa"/>
            <w:bottom w:w="0" w:type="dxa"/>
          </w:tblCellMar>
        </w:tblPrEx>
        <w:trPr>
          <w:cantSplit/>
        </w:trPr>
        <w:tc>
          <w:tcPr>
            <w:tcW w:w="9900" w:type="dxa"/>
            <w:gridSpan w:val="3"/>
          </w:tcPr>
          <w:p w14:paraId="5F798FB4" w14:textId="77777777" w:rsidR="00000000" w:rsidRDefault="007C3F81">
            <w:pPr>
              <w:jc w:val="center"/>
            </w:pPr>
            <w:bookmarkStart w:id="0" w:name="_GoBack"/>
            <w:bookmarkEnd w:id="0"/>
            <w:r>
              <w:drawing>
                <wp:inline distT="0" distB="0" distL="0" distR="0" wp14:anchorId="01BF6026" wp14:editId="25D85278">
                  <wp:extent cx="2514600" cy="482600"/>
                  <wp:effectExtent l="0" t="0" r="0" b="0"/>
                  <wp:docPr id="1" name="Picture 1" descr="C:\ScienceTeachers\lifescience\gymnosperm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ienceTeachers\lifescience\gymnospermtit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482600"/>
                          </a:xfrm>
                          <a:prstGeom prst="rect">
                            <a:avLst/>
                          </a:prstGeom>
                          <a:noFill/>
                          <a:ln>
                            <a:noFill/>
                          </a:ln>
                        </pic:spPr>
                      </pic:pic>
                    </a:graphicData>
                  </a:graphic>
                </wp:inline>
              </w:drawing>
            </w:r>
          </w:p>
        </w:tc>
      </w:tr>
      <w:tr w:rsidR="00000000" w14:paraId="61643F00" w14:textId="77777777">
        <w:tblPrEx>
          <w:tblCellMar>
            <w:top w:w="0" w:type="dxa"/>
            <w:bottom w:w="0" w:type="dxa"/>
          </w:tblCellMar>
        </w:tblPrEx>
        <w:trPr>
          <w:cantSplit/>
        </w:trPr>
        <w:tc>
          <w:tcPr>
            <w:tcW w:w="9900" w:type="dxa"/>
            <w:gridSpan w:val="3"/>
          </w:tcPr>
          <w:p w14:paraId="49732521" w14:textId="77777777" w:rsidR="00000000" w:rsidRDefault="007C3F81"/>
        </w:tc>
      </w:tr>
      <w:tr w:rsidR="00000000" w14:paraId="5296D228" w14:textId="77777777">
        <w:tblPrEx>
          <w:tblCellMar>
            <w:top w:w="0" w:type="dxa"/>
            <w:bottom w:w="0" w:type="dxa"/>
          </w:tblCellMar>
        </w:tblPrEx>
        <w:trPr>
          <w:cantSplit/>
        </w:trPr>
        <w:tc>
          <w:tcPr>
            <w:tcW w:w="9900" w:type="dxa"/>
            <w:gridSpan w:val="3"/>
          </w:tcPr>
          <w:p w14:paraId="5DD1BEEF" w14:textId="77777777" w:rsidR="00000000" w:rsidRDefault="007C3F81">
            <w:pPr>
              <w:rPr>
                <w:rFonts w:ascii="Arial" w:hAnsi="Arial" w:cs="Arial" w:hint="eastAsia"/>
                <w:sz w:val="28"/>
                <w:lang w:eastAsia="ko-KR"/>
              </w:rPr>
            </w:pPr>
            <w:r>
              <w:rPr>
                <w:rFonts w:ascii="Arial" w:hAnsi="Arial" w:cs="Arial" w:hint="eastAsia"/>
                <w:sz w:val="28"/>
                <w:lang w:eastAsia="ko-KR"/>
              </w:rPr>
              <w:t xml:space="preserve">Gymnosperms are one of two major groups of seed bearing plants and trees. The other group is the angiosperms, which are the flowering trees and plants. The name gymnosperm means </w:t>
            </w:r>
            <w:r>
              <w:rPr>
                <w:rFonts w:ascii="Arial" w:hAnsi="Arial" w:cs="Arial"/>
                <w:sz w:val="28"/>
                <w:lang w:eastAsia="ko-KR"/>
              </w:rPr>
              <w:t>‘</w:t>
            </w:r>
            <w:r>
              <w:rPr>
                <w:rFonts w:ascii="Arial" w:hAnsi="Arial" w:cs="Arial" w:hint="eastAsia"/>
                <w:sz w:val="28"/>
                <w:lang w:eastAsia="ko-KR"/>
              </w:rPr>
              <w:t>naked seed</w:t>
            </w:r>
            <w:r>
              <w:rPr>
                <w:rFonts w:ascii="Arial" w:hAnsi="Arial" w:cs="Arial"/>
                <w:sz w:val="28"/>
                <w:lang w:eastAsia="ko-KR"/>
              </w:rPr>
              <w:t>’</w:t>
            </w:r>
            <w:r>
              <w:rPr>
                <w:rFonts w:ascii="Arial" w:hAnsi="Arial" w:cs="Arial" w:hint="eastAsia"/>
                <w:sz w:val="28"/>
                <w:lang w:eastAsia="ko-KR"/>
              </w:rPr>
              <w:t xml:space="preserve">. Conifers, </w:t>
            </w:r>
            <w:r>
              <w:rPr>
                <w:rFonts w:ascii="Arial" w:hAnsi="Arial" w:cs="Arial"/>
                <w:sz w:val="28"/>
                <w:lang w:eastAsia="ko-KR"/>
              </w:rPr>
              <w:t>ginkgoes</w:t>
            </w:r>
            <w:r>
              <w:rPr>
                <w:rFonts w:ascii="Arial" w:hAnsi="Arial" w:cs="Arial" w:hint="eastAsia"/>
                <w:sz w:val="28"/>
                <w:lang w:eastAsia="ko-KR"/>
              </w:rPr>
              <w:t>, and cycads are all different kinds of g</w:t>
            </w:r>
            <w:r>
              <w:rPr>
                <w:rFonts w:ascii="Arial" w:hAnsi="Arial" w:cs="Arial" w:hint="eastAsia"/>
                <w:sz w:val="28"/>
                <w:lang w:eastAsia="ko-KR"/>
              </w:rPr>
              <w:t>ymnosperms. Unlike the angiosperms, the gymnosperms were around before the dinosaurs. Gymnosperms include some of the oldest and largest trees alive today such as the b</w:t>
            </w:r>
            <w:r>
              <w:rPr>
                <w:rFonts w:ascii="Arial" w:hAnsi="Arial" w:cs="Arial"/>
                <w:sz w:val="28"/>
                <w:lang w:eastAsia="ko-KR"/>
              </w:rPr>
              <w:t>ristlecone</w:t>
            </w:r>
            <w:r>
              <w:rPr>
                <w:rFonts w:ascii="Arial" w:hAnsi="Arial" w:cs="Arial" w:hint="eastAsia"/>
                <w:sz w:val="28"/>
                <w:lang w:eastAsia="ko-KR"/>
              </w:rPr>
              <w:t xml:space="preserve"> pines and the giant redwoods of California. </w:t>
            </w:r>
          </w:p>
        </w:tc>
      </w:tr>
      <w:tr w:rsidR="00000000" w14:paraId="55A1EDE3" w14:textId="77777777">
        <w:tblPrEx>
          <w:tblCellMar>
            <w:top w:w="0" w:type="dxa"/>
            <w:bottom w:w="0" w:type="dxa"/>
          </w:tblCellMar>
        </w:tblPrEx>
        <w:trPr>
          <w:cantSplit/>
        </w:trPr>
        <w:tc>
          <w:tcPr>
            <w:tcW w:w="2700" w:type="dxa"/>
          </w:tcPr>
          <w:p w14:paraId="7F09219E" w14:textId="77777777" w:rsidR="00000000" w:rsidRDefault="007C3F81">
            <w:r>
              <w:drawing>
                <wp:inline distT="0" distB="0" distL="0" distR="0" wp14:anchorId="76E09611" wp14:editId="20E9FE2B">
                  <wp:extent cx="1600200" cy="2349500"/>
                  <wp:effectExtent l="0" t="0" r="0" b="0"/>
                  <wp:docPr id="2" name="Picture 2" descr="C:\ScienceTeachers\lifescience\pine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cienceTeachers\lifescience\pinetree.jp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600200" cy="2349500"/>
                          </a:xfrm>
                          <a:prstGeom prst="rect">
                            <a:avLst/>
                          </a:prstGeom>
                          <a:noFill/>
                          <a:ln>
                            <a:noFill/>
                          </a:ln>
                        </pic:spPr>
                      </pic:pic>
                    </a:graphicData>
                  </a:graphic>
                </wp:inline>
              </w:drawing>
            </w:r>
          </w:p>
        </w:tc>
        <w:tc>
          <w:tcPr>
            <w:tcW w:w="7200" w:type="dxa"/>
            <w:gridSpan w:val="2"/>
          </w:tcPr>
          <w:p w14:paraId="1C5BA97B" w14:textId="77777777" w:rsidR="00000000" w:rsidRDefault="007C3F81">
            <w:pPr>
              <w:pStyle w:val="Heading1"/>
              <w:rPr>
                <w:rFonts w:hint="eastAsia"/>
                <w:b w:val="0"/>
                <w:bCs w:val="0"/>
              </w:rPr>
            </w:pPr>
          </w:p>
          <w:p w14:paraId="03818990" w14:textId="77777777" w:rsidR="00000000" w:rsidRDefault="007C3F81">
            <w:pPr>
              <w:pStyle w:val="Heading1"/>
              <w:rPr>
                <w:rFonts w:hint="eastAsia"/>
              </w:rPr>
            </w:pPr>
            <w:r>
              <w:rPr>
                <w:rFonts w:hint="eastAsia"/>
              </w:rPr>
              <w:t>Conifers</w:t>
            </w:r>
          </w:p>
          <w:p w14:paraId="1B86FD6E" w14:textId="77777777" w:rsidR="00000000" w:rsidRDefault="007C3F81">
            <w:pPr>
              <w:rPr>
                <w:rFonts w:ascii="Arial" w:hAnsi="Arial" w:cs="Arial" w:hint="eastAsia"/>
                <w:b/>
                <w:bCs/>
                <w:sz w:val="28"/>
                <w:lang w:eastAsia="ko-KR"/>
              </w:rPr>
            </w:pPr>
          </w:p>
          <w:p w14:paraId="24B52D92" w14:textId="77777777" w:rsidR="00000000" w:rsidRDefault="007C3F81">
            <w:pPr>
              <w:rPr>
                <w:rFonts w:ascii="Arial" w:hAnsi="Arial" w:cs="Arial" w:hint="eastAsia"/>
                <w:b/>
                <w:bCs/>
                <w:sz w:val="28"/>
                <w:lang w:eastAsia="ko-KR"/>
              </w:rPr>
            </w:pPr>
            <w:r>
              <w:rPr>
                <w:rFonts w:ascii="Arial" w:hAnsi="Arial" w:cs="Arial" w:hint="eastAsia"/>
                <w:sz w:val="28"/>
                <w:lang w:eastAsia="ko-KR"/>
              </w:rPr>
              <w:t>Conifers are the w</w:t>
            </w:r>
            <w:r>
              <w:rPr>
                <w:rFonts w:ascii="Arial" w:hAnsi="Arial" w:cs="Arial" w:hint="eastAsia"/>
                <w:sz w:val="28"/>
                <w:lang w:eastAsia="ko-KR"/>
              </w:rPr>
              <w:t xml:space="preserve">oody evergreen trees like pine, fir, cedar, hemlock, and spruce. Conifer means </w:t>
            </w:r>
            <w:r>
              <w:rPr>
                <w:rFonts w:ascii="Arial" w:hAnsi="Arial" w:cs="Arial"/>
                <w:sz w:val="28"/>
                <w:lang w:eastAsia="ko-KR"/>
              </w:rPr>
              <w:t>‘</w:t>
            </w:r>
            <w:r>
              <w:rPr>
                <w:rFonts w:ascii="Arial" w:hAnsi="Arial" w:cs="Arial" w:hint="eastAsia"/>
                <w:sz w:val="28"/>
                <w:lang w:eastAsia="ko-KR"/>
              </w:rPr>
              <w:t>cone bearing</w:t>
            </w:r>
            <w:r>
              <w:rPr>
                <w:rFonts w:ascii="Arial" w:hAnsi="Arial" w:cs="Arial"/>
                <w:sz w:val="28"/>
                <w:lang w:eastAsia="ko-KR"/>
              </w:rPr>
              <w:t>’</w:t>
            </w:r>
            <w:r>
              <w:rPr>
                <w:rFonts w:ascii="Arial" w:hAnsi="Arial" w:cs="Arial" w:hint="eastAsia"/>
                <w:sz w:val="28"/>
                <w:lang w:eastAsia="ko-KR"/>
              </w:rPr>
              <w:t>. The cones are divided into male and female cones. The male cones, which are usually much smaller, produce pollen that is carried by the wind to the larger female</w:t>
            </w:r>
            <w:r>
              <w:rPr>
                <w:rFonts w:ascii="Arial" w:hAnsi="Arial" w:cs="Arial" w:hint="eastAsia"/>
                <w:sz w:val="28"/>
                <w:lang w:eastAsia="ko-KR"/>
              </w:rPr>
              <w:t xml:space="preserve"> cones. A seed is eventually formed in the female cone, which drops to the ground and produces a sapling. Most conifers are </w:t>
            </w:r>
            <w:r>
              <w:rPr>
                <w:rFonts w:ascii="Arial" w:hAnsi="Arial" w:cs="Arial" w:hint="eastAsia"/>
                <w:i/>
                <w:iCs/>
                <w:sz w:val="28"/>
                <w:lang w:eastAsia="ko-KR"/>
              </w:rPr>
              <w:t>monoecious</w:t>
            </w:r>
            <w:r>
              <w:rPr>
                <w:rFonts w:ascii="Arial" w:hAnsi="Arial" w:cs="Arial" w:hint="eastAsia"/>
                <w:sz w:val="28"/>
                <w:lang w:eastAsia="ko-KR"/>
              </w:rPr>
              <w:t xml:space="preserve">, </w:t>
            </w:r>
            <w:r>
              <w:rPr>
                <w:rFonts w:ascii="Arial" w:hAnsi="Arial" w:cs="Arial"/>
                <w:sz w:val="28"/>
                <w:lang w:eastAsia="ko-KR"/>
              </w:rPr>
              <w:t>which</w:t>
            </w:r>
            <w:r>
              <w:rPr>
                <w:rFonts w:ascii="Arial" w:hAnsi="Arial" w:cs="Arial" w:hint="eastAsia"/>
                <w:sz w:val="28"/>
                <w:lang w:eastAsia="ko-KR"/>
              </w:rPr>
              <w:t xml:space="preserve"> mean each tree produces both male and female cones.</w:t>
            </w:r>
          </w:p>
        </w:tc>
      </w:tr>
      <w:tr w:rsidR="00000000" w14:paraId="6C6916BD" w14:textId="77777777">
        <w:tblPrEx>
          <w:tblCellMar>
            <w:top w:w="0" w:type="dxa"/>
            <w:bottom w:w="0" w:type="dxa"/>
          </w:tblCellMar>
        </w:tblPrEx>
        <w:trPr>
          <w:cantSplit/>
        </w:trPr>
        <w:tc>
          <w:tcPr>
            <w:tcW w:w="7202" w:type="dxa"/>
            <w:gridSpan w:val="2"/>
          </w:tcPr>
          <w:p w14:paraId="403011FB" w14:textId="77777777" w:rsidR="00000000" w:rsidRDefault="007C3F81">
            <w:pPr>
              <w:pStyle w:val="Heading1"/>
              <w:rPr>
                <w:rFonts w:hint="eastAsia"/>
              </w:rPr>
            </w:pPr>
            <w:r>
              <w:rPr>
                <w:rFonts w:hint="eastAsia"/>
              </w:rPr>
              <w:t>Cycads</w:t>
            </w:r>
          </w:p>
          <w:p w14:paraId="0F2E8EF9" w14:textId="77777777" w:rsidR="00000000" w:rsidRDefault="007C3F81">
            <w:pPr>
              <w:rPr>
                <w:rFonts w:ascii="Arial" w:hAnsi="Arial" w:cs="Arial" w:hint="eastAsia"/>
                <w:sz w:val="28"/>
                <w:lang w:eastAsia="ko-KR"/>
              </w:rPr>
            </w:pPr>
          </w:p>
          <w:p w14:paraId="082F9032" w14:textId="77777777" w:rsidR="00000000" w:rsidRDefault="007C3F81">
            <w:pPr>
              <w:rPr>
                <w:rFonts w:ascii="Arial" w:hAnsi="Arial" w:cs="Arial"/>
                <w:sz w:val="28"/>
              </w:rPr>
            </w:pPr>
            <w:r>
              <w:rPr>
                <w:rFonts w:ascii="Arial" w:hAnsi="Arial" w:cs="Arial" w:hint="eastAsia"/>
                <w:sz w:val="28"/>
                <w:lang w:eastAsia="ko-KR"/>
              </w:rPr>
              <w:t xml:space="preserve">These palm-like trees are not palms at all. They are </w:t>
            </w:r>
            <w:r>
              <w:rPr>
                <w:rFonts w:ascii="Arial" w:hAnsi="Arial" w:cs="Arial" w:hint="eastAsia"/>
                <w:sz w:val="28"/>
                <w:lang w:eastAsia="ko-KR"/>
              </w:rPr>
              <w:t>much older. They were the predominant vegetation during the age of the dinosaurs, many of which probably ate cycads. Today, they are mostly found in hot tropical areas. The decline of cycads worldwide was probably the result of competition with the angiosp</w:t>
            </w:r>
            <w:r>
              <w:rPr>
                <w:rFonts w:ascii="Arial" w:hAnsi="Arial" w:cs="Arial" w:hint="eastAsia"/>
                <w:sz w:val="28"/>
                <w:lang w:eastAsia="ko-KR"/>
              </w:rPr>
              <w:t xml:space="preserve">erms, which evolved during the </w:t>
            </w:r>
          </w:p>
        </w:tc>
        <w:tc>
          <w:tcPr>
            <w:tcW w:w="2698" w:type="dxa"/>
          </w:tcPr>
          <w:p w14:paraId="23BB884F" w14:textId="77777777" w:rsidR="00000000" w:rsidRDefault="007C3F81">
            <w:pPr>
              <w:rPr>
                <w:rFonts w:ascii="Arial" w:hAnsi="Arial" w:cs="Arial" w:hint="eastAsia"/>
                <w:sz w:val="28"/>
                <w:lang w:eastAsia="ko-KR"/>
              </w:rPr>
            </w:pPr>
            <w:r>
              <w:rPr>
                <w:rFonts w:ascii="Arial" w:hAnsi="Arial" w:cs="Arial" w:hint="eastAsia"/>
                <w:sz w:val="28"/>
              </w:rPr>
              <w:drawing>
                <wp:inline distT="0" distB="0" distL="0" distR="0" wp14:anchorId="4BC871FD" wp14:editId="63C9E3DB">
                  <wp:extent cx="1371600" cy="1892300"/>
                  <wp:effectExtent l="0" t="0" r="0" b="0"/>
                  <wp:docPr id="3" name="Picture 3" descr="C:\ScienceTeachers\lifescience\cy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cienceTeachers\lifescience\cyad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892300"/>
                          </a:xfrm>
                          <a:prstGeom prst="rect">
                            <a:avLst/>
                          </a:prstGeom>
                          <a:noFill/>
                          <a:ln>
                            <a:noFill/>
                          </a:ln>
                        </pic:spPr>
                      </pic:pic>
                    </a:graphicData>
                  </a:graphic>
                </wp:inline>
              </w:drawing>
            </w:r>
          </w:p>
        </w:tc>
      </w:tr>
      <w:tr w:rsidR="00000000" w14:paraId="5D7B5F7D" w14:textId="77777777">
        <w:tblPrEx>
          <w:tblCellMar>
            <w:top w:w="0" w:type="dxa"/>
            <w:bottom w:w="0" w:type="dxa"/>
          </w:tblCellMar>
        </w:tblPrEx>
        <w:trPr>
          <w:cantSplit/>
        </w:trPr>
        <w:tc>
          <w:tcPr>
            <w:tcW w:w="2700" w:type="dxa"/>
          </w:tcPr>
          <w:p w14:paraId="169A3AE9" w14:textId="77777777" w:rsidR="00000000" w:rsidRDefault="007C3F81">
            <w:pPr>
              <w:rPr>
                <w:rFonts w:ascii="Arial" w:hAnsi="Arial" w:cs="Arial"/>
                <w:sz w:val="28"/>
              </w:rPr>
            </w:pPr>
            <w:r>
              <w:rPr>
                <w:rFonts w:ascii="Arial" w:hAnsi="Arial" w:cs="Arial"/>
                <w:sz w:val="28"/>
              </w:rPr>
              <w:drawing>
                <wp:inline distT="0" distB="0" distL="0" distR="0" wp14:anchorId="53372671" wp14:editId="05CAADBF">
                  <wp:extent cx="1663700" cy="1866900"/>
                  <wp:effectExtent l="0" t="0" r="0" b="0"/>
                  <wp:docPr id="4" name="Picture 4" descr="C:\ScienceTeachers\lifescience\gin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cienceTeachers\lifescience\gink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0" cy="1866900"/>
                          </a:xfrm>
                          <a:prstGeom prst="rect">
                            <a:avLst/>
                          </a:prstGeom>
                          <a:noFill/>
                          <a:ln>
                            <a:noFill/>
                          </a:ln>
                        </pic:spPr>
                      </pic:pic>
                    </a:graphicData>
                  </a:graphic>
                </wp:inline>
              </w:drawing>
            </w:r>
          </w:p>
        </w:tc>
        <w:tc>
          <w:tcPr>
            <w:tcW w:w="7200" w:type="dxa"/>
            <w:gridSpan w:val="2"/>
          </w:tcPr>
          <w:p w14:paraId="35D2C600" w14:textId="77777777" w:rsidR="00000000" w:rsidRDefault="007C3F81">
            <w:pPr>
              <w:pStyle w:val="Heading2"/>
              <w:rPr>
                <w:rFonts w:hint="eastAsia"/>
                <w:b/>
                <w:bCs/>
              </w:rPr>
            </w:pPr>
            <w:r>
              <w:rPr>
                <w:rFonts w:hint="eastAsia"/>
                <w:b/>
                <w:bCs/>
              </w:rPr>
              <w:t>Ginkgoes</w:t>
            </w:r>
          </w:p>
          <w:p w14:paraId="7202C12B" w14:textId="77777777" w:rsidR="00000000" w:rsidRDefault="007C3F81">
            <w:pPr>
              <w:rPr>
                <w:rFonts w:ascii="Arial" w:hAnsi="Arial" w:cs="Arial" w:hint="eastAsia"/>
                <w:sz w:val="28"/>
                <w:lang w:eastAsia="ko-KR"/>
              </w:rPr>
            </w:pPr>
          </w:p>
          <w:p w14:paraId="6EB98049" w14:textId="77777777" w:rsidR="00000000" w:rsidRDefault="007C3F81">
            <w:pPr>
              <w:rPr>
                <w:rFonts w:ascii="Arial" w:hAnsi="Arial" w:cs="Arial" w:hint="eastAsia"/>
                <w:sz w:val="28"/>
                <w:lang w:eastAsia="ko-KR"/>
              </w:rPr>
            </w:pPr>
            <w:r>
              <w:rPr>
                <w:rFonts w:ascii="Arial" w:hAnsi="Arial" w:cs="Arial" w:hint="eastAsia"/>
                <w:sz w:val="28"/>
                <w:lang w:eastAsia="ko-KR"/>
              </w:rPr>
              <w:t xml:space="preserve">The ginkgo tree is a </w:t>
            </w:r>
            <w:r>
              <w:rPr>
                <w:rFonts w:ascii="Arial" w:hAnsi="Arial" w:cs="Arial"/>
                <w:sz w:val="28"/>
                <w:lang w:eastAsia="ko-KR"/>
              </w:rPr>
              <w:t>‘</w:t>
            </w:r>
            <w:r>
              <w:rPr>
                <w:rFonts w:ascii="Arial" w:hAnsi="Arial" w:cs="Arial" w:hint="eastAsia"/>
                <w:sz w:val="28"/>
                <w:lang w:eastAsia="ko-KR"/>
              </w:rPr>
              <w:t>living fossil</w:t>
            </w:r>
            <w:r>
              <w:rPr>
                <w:rFonts w:ascii="Arial" w:hAnsi="Arial" w:cs="Arial"/>
                <w:sz w:val="28"/>
                <w:lang w:eastAsia="ko-KR"/>
              </w:rPr>
              <w:t>’</w:t>
            </w:r>
            <w:r>
              <w:rPr>
                <w:rFonts w:ascii="Arial" w:hAnsi="Arial" w:cs="Arial" w:hint="eastAsia"/>
                <w:sz w:val="28"/>
                <w:lang w:eastAsia="ko-KR"/>
              </w:rPr>
              <w:t>. It has remained virtually unchanged for millions of years. Fossilized gingko leaves look nearly identical to modern ginkgo leaves. Only one species of gingko tree exists t</w:t>
            </w:r>
            <w:r>
              <w:rPr>
                <w:rFonts w:ascii="Arial" w:hAnsi="Arial" w:cs="Arial" w:hint="eastAsia"/>
                <w:sz w:val="28"/>
                <w:lang w:eastAsia="ko-KR"/>
              </w:rPr>
              <w:t xml:space="preserve">oday. The ginkgo is </w:t>
            </w:r>
            <w:r>
              <w:rPr>
                <w:rFonts w:ascii="Arial" w:hAnsi="Arial" w:cs="Arial" w:hint="eastAsia"/>
                <w:i/>
                <w:iCs/>
                <w:sz w:val="28"/>
                <w:lang w:eastAsia="ko-KR"/>
              </w:rPr>
              <w:t>dioecious</w:t>
            </w:r>
            <w:r>
              <w:rPr>
                <w:rFonts w:ascii="Arial" w:hAnsi="Arial" w:cs="Arial" w:hint="eastAsia"/>
                <w:sz w:val="28"/>
                <w:lang w:eastAsia="ko-KR"/>
              </w:rPr>
              <w:t>, which means the trees are either male or female. Since it is resistant to pollution, the gingko tree is popular among city landscapers, but only the male tree because the seeds on the female tree contain the rancid smelling b</w:t>
            </w:r>
            <w:r>
              <w:rPr>
                <w:rFonts w:ascii="Arial" w:hAnsi="Arial" w:cs="Arial" w:hint="eastAsia"/>
                <w:sz w:val="28"/>
                <w:lang w:eastAsia="ko-KR"/>
              </w:rPr>
              <w:t>utyric acid.</w:t>
            </w:r>
          </w:p>
        </w:tc>
      </w:tr>
    </w:tbl>
    <w:p w14:paraId="610B18B2" w14:textId="77777777" w:rsidR="00000000" w:rsidRDefault="007C3F81">
      <w:pPr>
        <w:rPr>
          <w:rFonts w:hint="eastAsia"/>
          <w:sz w:val="16"/>
          <w:lang w:eastAsia="ko-KR"/>
        </w:rPr>
      </w:pPr>
    </w:p>
    <w:sectPr w:rsidR="00000000">
      <w:footerReference w:type="default" r:id="rId11"/>
      <w:pgSz w:w="12240" w:h="15840"/>
      <w:pgMar w:top="719" w:right="1800" w:bottom="5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6CC8C" w14:textId="77777777" w:rsidR="00000000" w:rsidRDefault="007C3F81">
      <w:r>
        <w:separator/>
      </w:r>
    </w:p>
  </w:endnote>
  <w:endnote w:type="continuationSeparator" w:id="0">
    <w:p w14:paraId="3BCECF87" w14:textId="77777777" w:rsidR="00000000" w:rsidRDefault="007C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84F34" w14:textId="77777777" w:rsidR="00000000" w:rsidRDefault="007C3F81">
    <w:pPr>
      <w:pStyle w:val="Footer"/>
    </w:pPr>
    <w:r>
      <w:drawing>
        <wp:inline distT="0" distB="0" distL="0" distR="0" wp14:anchorId="2C34DFC7" wp14:editId="037997E9">
          <wp:extent cx="3530600" cy="342900"/>
          <wp:effectExtent l="0" t="0" r="0" b="0"/>
          <wp:docPr id="5" name="Picture 5" descr="C:\ScienceTeachers\foo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cienceTeachers\foote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0600" cy="3429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8330E" w14:textId="77777777" w:rsidR="00000000" w:rsidRDefault="007C3F81">
      <w:r>
        <w:separator/>
      </w:r>
    </w:p>
  </w:footnote>
  <w:footnote w:type="continuationSeparator" w:id="0">
    <w:p w14:paraId="34DBDBE6" w14:textId="77777777" w:rsidR="00000000" w:rsidRDefault="007C3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F81"/>
    <w:rsid w:val="007C3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1C4EE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outlineLvl w:val="0"/>
    </w:pPr>
    <w:rPr>
      <w:rFonts w:ascii="Arial" w:hAnsi="Arial" w:cs="Arial"/>
      <w:b/>
      <w:bCs/>
      <w:sz w:val="28"/>
      <w:lang w:eastAsia="ko-KR"/>
    </w:rPr>
  </w:style>
  <w:style w:type="paragraph" w:styleId="Heading2">
    <w:name w:val="heading 2"/>
    <w:basedOn w:val="Normal"/>
    <w:next w:val="Normal"/>
    <w:qFormat/>
    <w:pPr>
      <w:keepNext/>
      <w:outlineLvl w:val="1"/>
    </w:pPr>
    <w:rPr>
      <w:rFonts w:ascii="Arial" w:hAnsi="Arial" w:cs="Arial"/>
      <w:sz w:val="28"/>
      <w:lang w:eastAsia="ko-K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7C3F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81"/>
    <w:rPr>
      <w:rFonts w:ascii="Lucida Grande" w:hAnsi="Lucida Grande" w:cs="Lucida Grande"/>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outlineLvl w:val="0"/>
    </w:pPr>
    <w:rPr>
      <w:rFonts w:ascii="Arial" w:hAnsi="Arial" w:cs="Arial"/>
      <w:b/>
      <w:bCs/>
      <w:sz w:val="28"/>
      <w:lang w:eastAsia="ko-KR"/>
    </w:rPr>
  </w:style>
  <w:style w:type="paragraph" w:styleId="Heading2">
    <w:name w:val="heading 2"/>
    <w:basedOn w:val="Normal"/>
    <w:next w:val="Normal"/>
    <w:qFormat/>
    <w:pPr>
      <w:keepNext/>
      <w:outlineLvl w:val="1"/>
    </w:pPr>
    <w:rPr>
      <w:rFonts w:ascii="Arial" w:hAnsi="Arial" w:cs="Arial"/>
      <w:sz w:val="28"/>
      <w:lang w:eastAsia="ko-K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7C3F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81"/>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 Boggle's World</Company>
  <LinksUpToDate>false</LinksUpToDate>
  <CharactersWithSpaces>1804</CharactersWithSpaces>
  <SharedDoc>false</SharedDoc>
  <HLinks>
    <vt:vector size="30" baseType="variant">
      <vt:variant>
        <vt:i4>3080203</vt:i4>
      </vt:variant>
      <vt:variant>
        <vt:i4>1024</vt:i4>
      </vt:variant>
      <vt:variant>
        <vt:i4>1025</vt:i4>
      </vt:variant>
      <vt:variant>
        <vt:i4>1</vt:i4>
      </vt:variant>
      <vt:variant>
        <vt:lpwstr>C:\ScienceTeachers\lifescience\gymnospermtitle.jpg</vt:lpwstr>
      </vt:variant>
      <vt:variant>
        <vt:lpwstr/>
      </vt:variant>
      <vt:variant>
        <vt:i4>7405645</vt:i4>
      </vt:variant>
      <vt:variant>
        <vt:i4>1505</vt:i4>
      </vt:variant>
      <vt:variant>
        <vt:i4>1026</vt:i4>
      </vt:variant>
      <vt:variant>
        <vt:i4>1</vt:i4>
      </vt:variant>
      <vt:variant>
        <vt:lpwstr>C:\ScienceTeachers\lifescience\pinetree.jpg</vt:lpwstr>
      </vt:variant>
      <vt:variant>
        <vt:lpwstr/>
      </vt:variant>
      <vt:variant>
        <vt:i4>1900671</vt:i4>
      </vt:variant>
      <vt:variant>
        <vt:i4>2336</vt:i4>
      </vt:variant>
      <vt:variant>
        <vt:i4>1027</vt:i4>
      </vt:variant>
      <vt:variant>
        <vt:i4>1</vt:i4>
      </vt:variant>
      <vt:variant>
        <vt:lpwstr>C:\ScienceTeachers\lifescience\cyad2.jpg</vt:lpwstr>
      </vt:variant>
      <vt:variant>
        <vt:lpwstr/>
      </vt:variant>
      <vt:variant>
        <vt:i4>4915296</vt:i4>
      </vt:variant>
      <vt:variant>
        <vt:i4>2339</vt:i4>
      </vt:variant>
      <vt:variant>
        <vt:i4>1028</vt:i4>
      </vt:variant>
      <vt:variant>
        <vt:i4>1</vt:i4>
      </vt:variant>
      <vt:variant>
        <vt:lpwstr>C:\ScienceTeachers\lifescience\ginko.jpg</vt:lpwstr>
      </vt:variant>
      <vt:variant>
        <vt:lpwstr/>
      </vt:variant>
      <vt:variant>
        <vt:i4>6815806</vt:i4>
      </vt:variant>
      <vt:variant>
        <vt:i4>2831</vt:i4>
      </vt:variant>
      <vt:variant>
        <vt:i4>1029</vt:i4>
      </vt:variant>
      <vt:variant>
        <vt:i4>1</vt:i4>
      </vt:variant>
      <vt:variant>
        <vt:lpwstr>C:\ScienceTeachers\footer2.jpg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dc:creator>
  <cp:keywords/>
  <dc:description/>
  <cp:lastModifiedBy>Nicholas Rath</cp:lastModifiedBy>
  <cp:revision>2</cp:revision>
  <dcterms:created xsi:type="dcterms:W3CDTF">2015-05-29T15:36:00Z</dcterms:created>
  <dcterms:modified xsi:type="dcterms:W3CDTF">2015-05-29T15:36:00Z</dcterms:modified>
</cp:coreProperties>
</file>